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2B" w:rsidRDefault="00123AB0">
      <w:pPr>
        <w:pStyle w:val="Heading1"/>
        <w:tabs>
          <w:tab w:val="num" w:pos="216"/>
        </w:tabs>
        <w:jc w:val="center"/>
        <w:rPr>
          <w:rFonts w:ascii="Calibri" w:hAnsi="Calibri"/>
          <w:color w:val="0070C0"/>
        </w:rPr>
      </w:pPr>
      <w:r>
        <w:rPr>
          <w:rFonts w:ascii="Calibri" w:hAnsi="Calibri"/>
          <w:color w:val="0070C0"/>
        </w:rPr>
        <w:t>Securing a Network to Prevent Call Fraud</w:t>
      </w:r>
    </w:p>
    <w:p w:rsidR="00B16A2B" w:rsidRDefault="00B16A2B"/>
    <w:p w:rsidR="00B16A2B" w:rsidRDefault="00306DB0">
      <w:pPr>
        <w:tabs>
          <w:tab w:val="num" w:pos="0"/>
        </w:tabs>
        <w:spacing w:after="0" w:line="240" w:lineRule="auto"/>
        <w:jc w:val="both"/>
      </w:pPr>
      <w:r>
        <w:t xml:space="preserve">AccessLine SIP Trunking service uses the public Internet to connect the AccessLine Network to your customers PBX. </w:t>
      </w:r>
      <w:r w:rsidR="00DD2760">
        <w:t>This can</w:t>
      </w:r>
      <w:r>
        <w:t xml:space="preserve"> create opportunities for fraud THAT CAN BE PREVENTED</w:t>
      </w:r>
      <w:r w:rsidR="008F35E0">
        <w:t>.</w:t>
      </w:r>
      <w:r>
        <w:t xml:space="preserve">  Internet </w:t>
      </w:r>
      <w:r w:rsidR="00123AB0">
        <w:t xml:space="preserve">criminals </w:t>
      </w:r>
      <w:r w:rsidR="00D47AF4">
        <w:t>can sca</w:t>
      </w:r>
      <w:r w:rsidR="00DD2760">
        <w:t>n</w:t>
      </w:r>
      <w:r w:rsidR="00123AB0">
        <w:t xml:space="preserve"> the public internet for applications that make phone calls. </w:t>
      </w:r>
      <w:r w:rsidR="00DD2760">
        <w:t>Once they</w:t>
      </w:r>
      <w:r w:rsidR="00123AB0">
        <w:t xml:space="preserve"> detect </w:t>
      </w:r>
      <w:r w:rsidR="00D47AF4">
        <w:t xml:space="preserve">these </w:t>
      </w:r>
      <w:r w:rsidR="00123AB0">
        <w:t>applications</w:t>
      </w:r>
      <w:r w:rsidR="00DD2760">
        <w:t xml:space="preserve"> they </w:t>
      </w:r>
      <w:r w:rsidR="00123AB0">
        <w:t xml:space="preserve">then attempt to crack the authentication </w:t>
      </w:r>
      <w:r w:rsidR="00DD2760">
        <w:t>credentials</w:t>
      </w:r>
      <w:r w:rsidR="00123AB0">
        <w:t xml:space="preserve">. Once they have pirated </w:t>
      </w:r>
      <w:r w:rsidR="008F35E0">
        <w:t>the</w:t>
      </w:r>
      <w:r w:rsidR="008F35E0">
        <w:t xml:space="preserve"> </w:t>
      </w:r>
      <w:r w:rsidR="00123AB0">
        <w:t xml:space="preserve">device or authentication credentials they have the ability to make phone calls, which </w:t>
      </w:r>
      <w:r w:rsidR="008F35E0">
        <w:t>the customer will</w:t>
      </w:r>
      <w:r w:rsidR="00123AB0">
        <w:t xml:space="preserve"> be charged for.</w:t>
      </w:r>
    </w:p>
    <w:p w:rsidR="00B16A2B" w:rsidRDefault="00B16A2B">
      <w:pPr>
        <w:tabs>
          <w:tab w:val="num" w:pos="0"/>
        </w:tabs>
        <w:spacing w:after="0" w:line="240" w:lineRule="auto"/>
        <w:jc w:val="both"/>
      </w:pPr>
    </w:p>
    <w:p w:rsidR="00B16A2B" w:rsidRDefault="00123AB0">
      <w:pPr>
        <w:pStyle w:val="Heading2"/>
        <w:tabs>
          <w:tab w:val="num" w:pos="216"/>
        </w:tabs>
        <w:spacing w:before="0" w:line="240" w:lineRule="auto"/>
        <w:jc w:val="both"/>
        <w:rPr>
          <w:rFonts w:ascii="Calibri" w:hAnsi="Calibri"/>
          <w:color w:val="0070C0"/>
        </w:rPr>
      </w:pPr>
      <w:r>
        <w:rPr>
          <w:rFonts w:ascii="Calibri" w:hAnsi="Calibri"/>
          <w:color w:val="0070C0"/>
        </w:rPr>
        <w:t xml:space="preserve">AccessLine </w:t>
      </w:r>
      <w:r w:rsidR="008F35E0">
        <w:rPr>
          <w:rFonts w:ascii="Calibri" w:hAnsi="Calibri"/>
          <w:color w:val="0070C0"/>
        </w:rPr>
        <w:t>Requirement: How</w:t>
      </w:r>
      <w:r w:rsidR="00DD2760">
        <w:rPr>
          <w:rFonts w:ascii="Calibri" w:hAnsi="Calibri"/>
          <w:color w:val="0070C0"/>
        </w:rPr>
        <w:t xml:space="preserve"> to Protect </w:t>
      </w:r>
      <w:r w:rsidR="00D47AF4">
        <w:rPr>
          <w:rFonts w:ascii="Calibri" w:hAnsi="Calibri"/>
          <w:color w:val="0070C0"/>
        </w:rPr>
        <w:t>the Phone System</w:t>
      </w:r>
    </w:p>
    <w:p w:rsidR="00B16A2B" w:rsidRDefault="00123AB0">
      <w:pPr>
        <w:pStyle w:val="PlainText"/>
        <w:tabs>
          <w:tab w:val="num" w:pos="0"/>
        </w:tabs>
        <w:jc w:val="both"/>
      </w:pPr>
      <w:r>
        <w:rPr>
          <w:szCs w:val="22"/>
        </w:rPr>
        <w:t xml:space="preserve">SIP-based VOIP enabled PBX or SIP phones connected to AccessLine’s Service via our SIP </w:t>
      </w:r>
      <w:proofErr w:type="spellStart"/>
      <w:r>
        <w:rPr>
          <w:szCs w:val="22"/>
        </w:rPr>
        <w:t>trunking</w:t>
      </w:r>
      <w:proofErr w:type="spellEnd"/>
      <w:r>
        <w:rPr>
          <w:szCs w:val="22"/>
        </w:rPr>
        <w:t xml:space="preserve"> </w:t>
      </w:r>
      <w:r w:rsidR="00DD2760">
        <w:rPr>
          <w:szCs w:val="22"/>
        </w:rPr>
        <w:t>service MUST be</w:t>
      </w:r>
      <w:r>
        <w:rPr>
          <w:szCs w:val="22"/>
        </w:rPr>
        <w:t xml:space="preserve"> installed in a secure </w:t>
      </w:r>
      <w:r>
        <w:rPr>
          <w:b/>
          <w:szCs w:val="22"/>
        </w:rPr>
        <w:t>trusted</w:t>
      </w:r>
      <w:r>
        <w:rPr>
          <w:szCs w:val="22"/>
        </w:rPr>
        <w:t xml:space="preserve"> zone behind a Firewall and not exposed to the public internet. This means the PBX or SIP phones should never be put into a router's DMZ.  The firewall must block all inbound internet traffic to the PBX or SIP phones.   You do not have to block outbound traffic from your private network to the internet, but Network-Address-Translation, or “NAT” must be enabled.  NAT allows the AccessLine Service to send calls to the PBX or SIP Phones. If the firewall has multiple NAT settings, you must select the NAT setting that “Address Restricted” and not “Endpoint Independent”. If you do want to limit outbound internet traffic on the firewall, then you need to open SIP related ports on the firewall to allow AccessLine’s Service to function properly.  (See Appendix – SIP Firewall Ports)  </w:t>
      </w:r>
    </w:p>
    <w:p w:rsidR="00B16A2B" w:rsidRDefault="00B16A2B">
      <w:pPr>
        <w:tabs>
          <w:tab w:val="num" w:pos="0"/>
        </w:tabs>
        <w:spacing w:after="0" w:line="240" w:lineRule="auto"/>
      </w:pPr>
    </w:p>
    <w:p w:rsidR="00B16A2B" w:rsidRDefault="00123AB0">
      <w:pPr>
        <w:tabs>
          <w:tab w:val="num" w:pos="0"/>
        </w:tabs>
        <w:spacing w:after="0" w:line="240" w:lineRule="auto"/>
        <w:jc w:val="center"/>
      </w:pPr>
      <w:r>
        <w:rPr>
          <w:noProof/>
        </w:rPr>
        <w:drawing>
          <wp:inline distT="0" distB="0" distL="0" distR="0" wp14:anchorId="5EF3D861" wp14:editId="4BC0FA79">
            <wp:extent cx="3715573" cy="2271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a:stretch>
                      <a:fillRect/>
                    </a:stretch>
                  </pic:blipFill>
                  <pic:spPr>
                    <a:xfrm>
                      <a:off x="0" y="0"/>
                      <a:ext cx="3715573" cy="2271278"/>
                    </a:xfrm>
                    <a:prstGeom prst="rect">
                      <a:avLst/>
                    </a:prstGeom>
                  </pic:spPr>
                </pic:pic>
              </a:graphicData>
            </a:graphic>
          </wp:inline>
        </w:drawing>
      </w:r>
    </w:p>
    <w:p w:rsidR="00B16A2B" w:rsidRDefault="00B16A2B">
      <w:pPr>
        <w:tabs>
          <w:tab w:val="num" w:pos="0"/>
        </w:tabs>
        <w:spacing w:after="0" w:line="240" w:lineRule="auto"/>
      </w:pPr>
    </w:p>
    <w:p w:rsidR="00B16A2B" w:rsidRDefault="00123AB0">
      <w:pPr>
        <w:pStyle w:val="Heading2"/>
        <w:tabs>
          <w:tab w:val="num" w:pos="216"/>
        </w:tabs>
        <w:spacing w:before="0" w:line="240" w:lineRule="auto"/>
      </w:pPr>
      <w:r>
        <w:rPr>
          <w:rFonts w:ascii="Calibri" w:hAnsi="Calibri"/>
          <w:color w:val="0070C0"/>
        </w:rPr>
        <w:t>Obligations: T&amp;Cs</w:t>
      </w:r>
    </w:p>
    <w:p w:rsidR="00B16A2B" w:rsidRDefault="00123AB0">
      <w:pPr>
        <w:pStyle w:val="PlainText"/>
        <w:tabs>
          <w:tab w:val="num" w:pos="0"/>
        </w:tabs>
        <w:jc w:val="both"/>
      </w:pPr>
      <w:r>
        <w:t>The SIP Trunking Terms and Conditions states the following:</w:t>
      </w:r>
    </w:p>
    <w:p w:rsidR="00B16A2B" w:rsidRDefault="00123AB0">
      <w:pPr>
        <w:pStyle w:val="PlainText"/>
        <w:tabs>
          <w:tab w:val="num" w:pos="0"/>
        </w:tabs>
        <w:jc w:val="both"/>
      </w:pPr>
      <w:r>
        <w:t>Customer understands that the use of the Services requires a network firewall at the Customer premises. Customers must deploy firewalls designed to enhance security for SIP-based VoIP applications and services. Any fraudulent use of Customer's Services due to a lack of acceptable firewall security is solely the responsibility of Customer, and AccessLine will not credit customer for these charges. Customer hereby indemnifies AccessLine against any responsibility for damages, consequential or otherwise that arise from an unprotected network. Customer also acknowledges that AccessLine may block without notice traffic reported by its carriers as potentially fraudulent.</w:t>
      </w:r>
    </w:p>
    <w:p w:rsidR="000C1B42" w:rsidRDefault="000C1B42">
      <w:pPr>
        <w:pStyle w:val="PlainText"/>
        <w:tabs>
          <w:tab w:val="num" w:pos="0"/>
        </w:tabs>
        <w:jc w:val="both"/>
      </w:pPr>
    </w:p>
    <w:p w:rsidR="00B16A2B" w:rsidRDefault="00123AB0">
      <w:pPr>
        <w:pStyle w:val="Heading2"/>
        <w:tabs>
          <w:tab w:val="num" w:pos="216"/>
        </w:tabs>
        <w:spacing w:before="0" w:line="240" w:lineRule="auto"/>
        <w:jc w:val="both"/>
      </w:pPr>
      <w:r>
        <w:rPr>
          <w:rFonts w:ascii="Calibri" w:hAnsi="Calibri"/>
          <w:color w:val="0070C0"/>
        </w:rPr>
        <w:t>International Calling Must Be Requested</w:t>
      </w:r>
      <w:r w:rsidR="000C1B42">
        <w:rPr>
          <w:rFonts w:ascii="Calibri" w:hAnsi="Calibri"/>
          <w:color w:val="0070C0"/>
        </w:rPr>
        <w:t xml:space="preserve"> </w:t>
      </w:r>
      <w:r>
        <w:rPr>
          <w:rFonts w:ascii="Calibri" w:hAnsi="Calibri"/>
          <w:color w:val="0070C0"/>
        </w:rPr>
        <w:t>on the Order Form</w:t>
      </w:r>
    </w:p>
    <w:p w:rsidR="00B16A2B" w:rsidRDefault="00D47AF4">
      <w:pPr>
        <w:tabs>
          <w:tab w:val="num" w:pos="0"/>
        </w:tabs>
        <w:spacing w:after="0" w:line="240" w:lineRule="auto"/>
        <w:jc w:val="both"/>
      </w:pPr>
      <w:r>
        <w:t>To further protect your customer, w</w:t>
      </w:r>
      <w:r w:rsidR="00123AB0">
        <w:t>hen you order services you have the option to enable or disable international and high cost areas (see appendix of high cost areas). If a customer</w:t>
      </w:r>
      <w:r w:rsidR="00D01B0F">
        <w:t xml:space="preserve"> does</w:t>
      </w:r>
      <w:r w:rsidR="00123AB0">
        <w:t xml:space="preserve"> opt to disable international calling, this feature can be enabled at a later time.</w:t>
      </w:r>
    </w:p>
    <w:p w:rsidR="00B16A2B" w:rsidRDefault="00B16A2B">
      <w:pPr>
        <w:tabs>
          <w:tab w:val="num" w:pos="0"/>
        </w:tabs>
        <w:spacing w:after="0" w:line="240" w:lineRule="auto"/>
        <w:jc w:val="both"/>
      </w:pPr>
    </w:p>
    <w:p w:rsidR="00B16A2B" w:rsidRDefault="00123AB0">
      <w:pPr>
        <w:pStyle w:val="Heading2"/>
        <w:tabs>
          <w:tab w:val="num" w:pos="216"/>
        </w:tabs>
        <w:spacing w:before="0" w:line="240" w:lineRule="auto"/>
        <w:jc w:val="both"/>
        <w:rPr>
          <w:rFonts w:ascii="Calibri" w:hAnsi="Calibri"/>
          <w:color w:val="0070C0"/>
        </w:rPr>
      </w:pPr>
      <w:r>
        <w:rPr>
          <w:rFonts w:ascii="Calibri" w:hAnsi="Calibri"/>
          <w:color w:val="0070C0"/>
        </w:rPr>
        <w:t>AccessLine Fraud Monitoring</w:t>
      </w:r>
    </w:p>
    <w:p w:rsidR="00B16A2B" w:rsidRDefault="00D01B0F">
      <w:pPr>
        <w:tabs>
          <w:tab w:val="num" w:pos="0"/>
        </w:tabs>
        <w:spacing w:after="0" w:line="240" w:lineRule="auto"/>
        <w:jc w:val="both"/>
      </w:pPr>
      <w:r>
        <w:t>The AccessLine NOC monitors</w:t>
      </w:r>
      <w:r w:rsidR="00123AB0">
        <w:t xml:space="preserve"> call patterns to international (and high cost) locations on an hourly basis. If any customer exceeds the call thresholds for any international areas, AccessLine will disable international calling, and send an email notification to customer informing them that international calling has been disabled based on possible fraudulent activity. </w:t>
      </w:r>
      <w:r>
        <w:t>To protect the customer, w</w:t>
      </w:r>
      <w:r w:rsidR="00123AB0">
        <w:t>e will not enable International calling until the account holder has given AccessLine authorization.</w:t>
      </w:r>
    </w:p>
    <w:p w:rsidR="00B16A2B" w:rsidRDefault="00123AB0">
      <w:pPr>
        <w:tabs>
          <w:tab w:val="num" w:pos="0"/>
        </w:tabs>
        <w:spacing w:after="0" w:line="240" w:lineRule="auto"/>
        <w:jc w:val="both"/>
      </w:pPr>
      <w:r>
        <w:t xml:space="preserve">In addition, </w:t>
      </w:r>
      <w:r w:rsidR="00D01B0F">
        <w:t>AccessLine scans</w:t>
      </w:r>
      <w:r>
        <w:t xml:space="preserve"> the network</w:t>
      </w:r>
      <w:r w:rsidR="00D01B0F">
        <w:t xml:space="preserve"> of connected devices</w:t>
      </w:r>
      <w:r>
        <w:t xml:space="preserve"> to determine if any of our SIP endpoints are open to the public internet. </w:t>
      </w:r>
      <w:r w:rsidR="00D01B0F">
        <w:t>If an endpoint (phone, phone system or gateway) is determined to be open to the public Internet, a n</w:t>
      </w:r>
      <w:r>
        <w:t xml:space="preserve">otification will be sent to the customer and CIP informing them they are not in compliance with AccessLine’s T&amp;C’s and </w:t>
      </w:r>
      <w:r w:rsidR="00D01B0F">
        <w:t>are required to secure the</w:t>
      </w:r>
      <w:r>
        <w:t xml:space="preserve"> SIP endpoints behind a firewall.</w:t>
      </w:r>
    </w:p>
    <w:p w:rsidR="00B16A2B" w:rsidRDefault="00123AB0">
      <w:pPr>
        <w:pStyle w:val="Heading1"/>
        <w:tabs>
          <w:tab w:val="num" w:pos="216"/>
        </w:tabs>
      </w:pPr>
      <w:r>
        <w:rPr>
          <w:rFonts w:ascii="Calibri" w:hAnsi="Calibri"/>
          <w:color w:val="0070C0"/>
        </w:rPr>
        <w:t>Appendix –North American High Cost Areas</w:t>
      </w:r>
    </w:p>
    <w:tbl>
      <w:tblPr>
        <w:tblW w:w="7960" w:type="dxa"/>
        <w:tblInd w:w="93" w:type="dxa"/>
        <w:tblLook w:val="04A0" w:firstRow="1" w:lastRow="0" w:firstColumn="1" w:lastColumn="0" w:noHBand="0" w:noVBand="1"/>
      </w:tblPr>
      <w:tblGrid>
        <w:gridCol w:w="1180"/>
        <w:gridCol w:w="2400"/>
        <w:gridCol w:w="700"/>
        <w:gridCol w:w="1420"/>
        <w:gridCol w:w="2260"/>
      </w:tblGrid>
      <w:tr w:rsidR="000C1B42" w:rsidRPr="000C1B42" w:rsidTr="000C1B42">
        <w:trPr>
          <w:trHeight w:val="480"/>
        </w:trPr>
        <w:tc>
          <w:tcPr>
            <w:tcW w:w="1180" w:type="dxa"/>
            <w:tcBorders>
              <w:top w:val="nil"/>
              <w:left w:val="nil"/>
              <w:bottom w:val="single" w:sz="8" w:space="0" w:color="auto"/>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b/>
                <w:bCs/>
                <w:color w:val="000000"/>
              </w:rPr>
            </w:pPr>
            <w:r w:rsidRPr="000C1B42">
              <w:rPr>
                <w:rFonts w:eastAsia="Times New Roman" w:cs="Calibri"/>
                <w:b/>
                <w:bCs/>
                <w:color w:val="000000"/>
              </w:rPr>
              <w:t>NPA</w:t>
            </w:r>
          </w:p>
        </w:tc>
        <w:tc>
          <w:tcPr>
            <w:tcW w:w="2400" w:type="dxa"/>
            <w:tcBorders>
              <w:top w:val="nil"/>
              <w:left w:val="nil"/>
              <w:bottom w:val="single" w:sz="8" w:space="0" w:color="auto"/>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b/>
                <w:bCs/>
                <w:color w:val="000000"/>
              </w:rPr>
            </w:pPr>
            <w:r w:rsidRPr="000C1B42">
              <w:rPr>
                <w:rFonts w:eastAsia="Times New Roman" w:cs="Calibri"/>
                <w:b/>
                <w:bCs/>
                <w:color w:val="000000"/>
              </w:rPr>
              <w:t>Country</w:t>
            </w:r>
          </w:p>
        </w:tc>
        <w:tc>
          <w:tcPr>
            <w:tcW w:w="700" w:type="dxa"/>
            <w:tcBorders>
              <w:top w:val="nil"/>
              <w:left w:val="nil"/>
              <w:bottom w:val="single" w:sz="8" w:space="0" w:color="auto"/>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b/>
                <w:bCs/>
                <w:color w:val="000000"/>
              </w:rPr>
            </w:pPr>
            <w:r w:rsidRPr="000C1B42">
              <w:rPr>
                <w:rFonts w:eastAsia="Times New Roman" w:cs="Calibri"/>
                <w:b/>
                <w:bCs/>
                <w:color w:val="000000"/>
              </w:rPr>
              <w:t> </w:t>
            </w:r>
          </w:p>
        </w:tc>
        <w:tc>
          <w:tcPr>
            <w:tcW w:w="1420" w:type="dxa"/>
            <w:tcBorders>
              <w:top w:val="nil"/>
              <w:left w:val="nil"/>
              <w:bottom w:val="single" w:sz="8" w:space="0" w:color="auto"/>
              <w:right w:val="nil"/>
            </w:tcBorders>
            <w:shd w:val="clear" w:color="000000" w:fill="FFFFFF"/>
            <w:noWrap/>
            <w:vAlign w:val="bottom"/>
            <w:hideMark/>
          </w:tcPr>
          <w:p w:rsidR="000C1B42" w:rsidRPr="000C1B42" w:rsidRDefault="000C1B42" w:rsidP="000C1B42">
            <w:pPr>
              <w:suppressAutoHyphens w:val="0"/>
              <w:spacing w:after="0" w:line="240" w:lineRule="auto"/>
              <w:jc w:val="right"/>
              <w:rPr>
                <w:rFonts w:eastAsia="Times New Roman" w:cs="Calibri"/>
                <w:color w:val="000000"/>
              </w:rPr>
            </w:pPr>
            <w:r w:rsidRPr="000C1B42">
              <w:rPr>
                <w:rFonts w:eastAsia="Times New Roman" w:cs="Calibri"/>
                <w:color w:val="000000"/>
              </w:rPr>
              <w:t> </w:t>
            </w:r>
          </w:p>
        </w:tc>
        <w:tc>
          <w:tcPr>
            <w:tcW w:w="2260" w:type="dxa"/>
            <w:tcBorders>
              <w:top w:val="nil"/>
              <w:left w:val="nil"/>
              <w:bottom w:val="single" w:sz="8" w:space="0" w:color="auto"/>
              <w:right w:val="nil"/>
            </w:tcBorders>
            <w:shd w:val="clear" w:color="000000" w:fill="FFFFFF"/>
            <w:noWrap/>
            <w:vAlign w:val="bottom"/>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684</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American Samoa</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671</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Guam</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264</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Anguilla</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876</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Jamaica</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268</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Antigua and Barbuda</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664</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Montserrat</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242</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Bahamas</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787</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Puerto Rico</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246</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Barbados</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939</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Puerto Rico</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441</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Bermuda</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670</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Saipan</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284</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British Virgin Island</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721</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Saint Maarten</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345</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Cayman Islands</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869</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ST. Kitts/Nevis</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767</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Dominica</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758</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ST. Lucia</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809</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Dominican Republic</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784</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St. Vincent</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829</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Dominican Republic</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868</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Trinidad and Tobago-</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849</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Dominican Republic</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649</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Turks &amp; Caicos Island</w:t>
            </w:r>
          </w:p>
        </w:tc>
      </w:tr>
      <w:tr w:rsidR="000C1B42" w:rsidRPr="000C1B42" w:rsidTr="000C1B42">
        <w:trPr>
          <w:trHeight w:val="480"/>
        </w:trPr>
        <w:tc>
          <w:tcPr>
            <w:tcW w:w="118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473</w:t>
            </w:r>
          </w:p>
        </w:tc>
        <w:tc>
          <w:tcPr>
            <w:tcW w:w="24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Grenada</w:t>
            </w:r>
          </w:p>
        </w:tc>
        <w:tc>
          <w:tcPr>
            <w:tcW w:w="70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 </w:t>
            </w:r>
          </w:p>
        </w:tc>
        <w:tc>
          <w:tcPr>
            <w:tcW w:w="142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340</w:t>
            </w:r>
          </w:p>
        </w:tc>
        <w:tc>
          <w:tcPr>
            <w:tcW w:w="2260" w:type="dxa"/>
            <w:tcBorders>
              <w:top w:val="nil"/>
              <w:left w:val="nil"/>
              <w:bottom w:val="nil"/>
              <w:right w:val="nil"/>
            </w:tcBorders>
            <w:shd w:val="clear" w:color="000000" w:fill="FFFFFF"/>
            <w:vAlign w:val="center"/>
            <w:hideMark/>
          </w:tcPr>
          <w:p w:rsidR="000C1B42" w:rsidRPr="000C1B42" w:rsidRDefault="000C1B42" w:rsidP="000C1B42">
            <w:pPr>
              <w:suppressAutoHyphens w:val="0"/>
              <w:spacing w:after="0" w:line="240" w:lineRule="auto"/>
              <w:rPr>
                <w:rFonts w:eastAsia="Times New Roman" w:cs="Calibri"/>
                <w:color w:val="000000"/>
              </w:rPr>
            </w:pPr>
            <w:r w:rsidRPr="000C1B42">
              <w:rPr>
                <w:rFonts w:eastAsia="Times New Roman" w:cs="Calibri"/>
                <w:color w:val="000000"/>
              </w:rPr>
              <w:t>U.S. Virgin Islands</w:t>
            </w:r>
          </w:p>
        </w:tc>
      </w:tr>
    </w:tbl>
    <w:p w:rsidR="00B16A2B" w:rsidRDefault="00B16A2B">
      <w:pPr>
        <w:tabs>
          <w:tab w:val="num" w:pos="0"/>
        </w:tabs>
        <w:spacing w:after="0" w:line="240" w:lineRule="auto"/>
        <w:rPr>
          <w:rFonts w:eastAsia="Times New Roman"/>
          <w:b/>
          <w:color w:val="000000"/>
        </w:rPr>
      </w:pPr>
    </w:p>
    <w:p w:rsidR="00B16A2B" w:rsidRDefault="000C1B42">
      <w:pPr>
        <w:pStyle w:val="Heading1"/>
        <w:tabs>
          <w:tab w:val="num" w:pos="216"/>
        </w:tabs>
        <w:rPr>
          <w:rFonts w:ascii="Calibri" w:hAnsi="Calibri"/>
          <w:color w:val="0070C0"/>
        </w:rPr>
      </w:pPr>
      <w:r>
        <w:rPr>
          <w:rFonts w:ascii="Calibri" w:hAnsi="Calibri"/>
          <w:color w:val="0070C0"/>
        </w:rPr>
        <w:t>A</w:t>
      </w:r>
      <w:r w:rsidR="00123AB0">
        <w:rPr>
          <w:rFonts w:ascii="Calibri" w:hAnsi="Calibri"/>
          <w:color w:val="0070C0"/>
        </w:rPr>
        <w:t>ppendix – SIP Firewall Ports</w:t>
      </w:r>
    </w:p>
    <w:p w:rsidR="00B16A2B" w:rsidRDefault="00123AB0">
      <w:pPr>
        <w:tabs>
          <w:tab w:val="num" w:pos="720"/>
          <w:tab w:val="left" w:pos="1800"/>
          <w:tab w:val="left" w:pos="3600"/>
          <w:tab w:val="left" w:pos="4680"/>
        </w:tabs>
        <w:ind w:left="720"/>
      </w:pPr>
      <w:r>
        <w:rPr>
          <w:u w:val="single"/>
        </w:rPr>
        <w:t>Protocol</w:t>
      </w:r>
      <w:r>
        <w:rPr>
          <w:noProof/>
          <w:webHidden/>
        </w:rPr>
        <w:tab/>
      </w:r>
      <w:r>
        <w:rPr>
          <w:u w:val="single"/>
        </w:rPr>
        <w:t>Port(s)</w:t>
      </w:r>
      <w:r>
        <w:rPr>
          <w:noProof/>
          <w:webHidden/>
        </w:rPr>
        <w:tab/>
      </w:r>
      <w:r>
        <w:rPr>
          <w:u w:val="single"/>
        </w:rPr>
        <w:t>Protocol</w:t>
      </w:r>
      <w:r>
        <w:rPr>
          <w:noProof/>
          <w:webHidden/>
        </w:rPr>
        <w:tab/>
      </w:r>
      <w:r>
        <w:rPr>
          <w:u w:val="single"/>
        </w:rPr>
        <w:t>Port(s)</w:t>
      </w:r>
      <w:r>
        <w:rPr>
          <w:noProof/>
          <w:webHidden/>
        </w:rPr>
        <w:tab/>
      </w:r>
      <w:r>
        <w:rPr>
          <w:noProof/>
          <w:webHidden/>
        </w:rPr>
        <w:tab/>
      </w:r>
      <w:r>
        <w:br/>
        <w:t>UDP</w:t>
      </w:r>
      <w:r>
        <w:rPr>
          <w:noProof/>
          <w:webHidden/>
        </w:rPr>
        <w:tab/>
      </w:r>
      <w:r>
        <w:t>5060</w:t>
      </w:r>
      <w:r>
        <w:rPr>
          <w:noProof/>
          <w:webHidden/>
        </w:rPr>
        <w:tab/>
      </w:r>
      <w:r>
        <w:t>UDP</w:t>
      </w:r>
      <w:r>
        <w:rPr>
          <w:noProof/>
          <w:webHidden/>
        </w:rPr>
        <w:tab/>
      </w:r>
      <w:r>
        <w:t>30000 - 50000</w:t>
      </w:r>
      <w:r>
        <w:br/>
        <w:t>UDP</w:t>
      </w:r>
      <w:r>
        <w:rPr>
          <w:noProof/>
          <w:webHidden/>
        </w:rPr>
        <w:tab/>
      </w:r>
      <w:r>
        <w:t>6060</w:t>
      </w:r>
      <w:r>
        <w:rPr>
          <w:noProof/>
          <w:webHidden/>
        </w:rPr>
        <w:tab/>
      </w:r>
      <w:r>
        <w:t>TCP</w:t>
      </w:r>
      <w:r>
        <w:rPr>
          <w:noProof/>
          <w:webHidden/>
        </w:rPr>
        <w:tab/>
      </w:r>
      <w:r>
        <w:t>6061</w:t>
      </w:r>
    </w:p>
    <w:p w:rsidR="00B16A2B" w:rsidRDefault="00B16A2B">
      <w:pPr>
        <w:tabs>
          <w:tab w:val="num" w:pos="720"/>
          <w:tab w:val="left" w:pos="1800"/>
          <w:tab w:val="left" w:pos="3600"/>
          <w:tab w:val="left" w:pos="4680"/>
        </w:tabs>
        <w:ind w:left="720"/>
      </w:pPr>
    </w:p>
    <w:sectPr w:rsidR="00B16A2B" w:rsidSect="000C1B42">
      <w:pgSz w:w="12240" w:h="15840"/>
      <w:pgMar w:top="720" w:right="720" w:bottom="720" w:left="720"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5FA" w:rsidRDefault="005165FA">
      <w:pPr>
        <w:spacing w:after="0" w:line="240" w:lineRule="auto"/>
      </w:pPr>
      <w:r>
        <w:separator/>
      </w:r>
    </w:p>
  </w:endnote>
  <w:endnote w:type="continuationSeparator" w:id="0">
    <w:p w:rsidR="005165FA" w:rsidRDefault="0051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5FA" w:rsidRDefault="005165FA">
      <w:pPr>
        <w:spacing w:line="240" w:lineRule="auto"/>
      </w:pPr>
      <w:r>
        <w:separator/>
      </w:r>
    </w:p>
  </w:footnote>
  <w:footnote w:type="continuationSeparator" w:id="0">
    <w:p w:rsidR="005165FA" w:rsidRDefault="00516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23C44"/>
    <w:multiLevelType w:val="multilevel"/>
    <w:tmpl w:val="9710E8DA"/>
    <w:lvl w:ilvl="0">
      <w:start w:val="1"/>
      <w:numFmt w:val="decimal"/>
      <w:pStyle w:val="Heading1"/>
      <w:suff w:val="nothing"/>
      <w:lvlText w:val=""/>
      <w:lvlJc w:val="left"/>
      <w:pPr>
        <w:tabs>
          <w:tab w:val="num" w:pos="0"/>
        </w:tabs>
        <w:suppressAutoHyphens/>
        <w:ind w:left="0" w:firstLine="0"/>
      </w:pPr>
    </w:lvl>
    <w:lvl w:ilvl="1">
      <w:start w:val="1"/>
      <w:numFmt w:val="decimal"/>
      <w:pStyle w:val="Heading2"/>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2B"/>
    <w:rsid w:val="000C1B42"/>
    <w:rsid w:val="00123AB0"/>
    <w:rsid w:val="00306DB0"/>
    <w:rsid w:val="005165FA"/>
    <w:rsid w:val="008F35E0"/>
    <w:rsid w:val="00B16A2B"/>
    <w:rsid w:val="00BF4DBB"/>
    <w:rsid w:val="00D01B0F"/>
    <w:rsid w:val="00D47AF4"/>
    <w:rsid w:val="00DD2760"/>
    <w:rsid w:val="00FB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Tahoma"/>
        <w:sz w:val="22"/>
        <w:szCs w:val="22"/>
        <w:lang w:val="en-US" w:eastAsia="en-US" w:bidi="ar-SA"/>
      </w:rPr>
    </w:rPrDefault>
    <w:pPrDefault>
      <w:pPr>
        <w:widowControl w:val="0"/>
        <w:suppressAutoHyphens/>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pPr>
  </w:style>
  <w:style w:type="paragraph" w:styleId="Heading1">
    <w:name w:val="heading 1"/>
    <w:basedOn w:val="Normal"/>
    <w:next w:val="Normal"/>
    <w:qFormat/>
    <w:pPr>
      <w:keepNext/>
      <w:keepLines/>
      <w:numPr>
        <w:numId w:val="1"/>
      </w:numPr>
      <w:spacing w:before="480" w:after="0"/>
      <w:outlineLvl w:val="0"/>
    </w:pPr>
    <w:rPr>
      <w:rFonts w:ascii="Cambria" w:hAnsi="Cambria"/>
      <w:b/>
      <w:color w:val="365F91"/>
      <w:sz w:val="28"/>
      <w:szCs w:val="28"/>
    </w:rPr>
  </w:style>
  <w:style w:type="paragraph" w:styleId="Heading2">
    <w:name w:val="heading 2"/>
    <w:basedOn w:val="Normal"/>
    <w:next w:val="Normal"/>
    <w:qFormat/>
    <w:pPr>
      <w:keepNext/>
      <w:keepLines/>
      <w:numPr>
        <w:ilvl w:val="1"/>
        <w:numId w:val="1"/>
      </w:numPr>
      <w:spacing w:before="200" w:after="0"/>
      <w:outlineLvl w:val="1"/>
    </w:pPr>
    <w:rPr>
      <w:rFonts w:ascii="Cambria" w:hAnsi="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customStyle="1" w:styleId="Heading">
    <w:name w:val="Heading"/>
    <w:basedOn w:val="Standard"/>
    <w:next w:val="Textbody"/>
    <w:qFormat/>
    <w:pPr>
      <w:keepNext/>
      <w:spacing w:before="240" w:after="120"/>
    </w:pPr>
    <w:rPr>
      <w:rFonts w:ascii="Arial" w:hAnsi="Arial"/>
      <w:sz w:val="28"/>
      <w:szCs w:val="28"/>
    </w:rPr>
  </w:style>
  <w:style w:type="paragraph" w:styleId="Footer">
    <w:name w:val="footer"/>
    <w:basedOn w:val="Standard"/>
    <w:qFormat/>
    <w:pPr>
      <w:tabs>
        <w:tab w:val="center" w:pos="4680"/>
        <w:tab w:val="right" w:pos="9360"/>
      </w:tabs>
    </w:pPr>
  </w:style>
  <w:style w:type="paragraph" w:customStyle="1" w:styleId="TableContents">
    <w:name w:val="Table Contents"/>
    <w:basedOn w:val="Standard"/>
    <w:qFormat/>
  </w:style>
  <w:style w:type="paragraph" w:styleId="PlainText">
    <w:name w:val="Plain Text"/>
    <w:basedOn w:val="Normal"/>
    <w:qFormat/>
    <w:pPr>
      <w:spacing w:after="0" w:line="240" w:lineRule="auto"/>
    </w:pPr>
    <w:rPr>
      <w:szCs w:val="21"/>
    </w:rPr>
  </w:style>
  <w:style w:type="paragraph" w:styleId="BalloonText">
    <w:name w:val="Balloon Text"/>
    <w:basedOn w:val="Normal"/>
    <w:qFormat/>
    <w:pPr>
      <w:spacing w:after="0" w:line="240" w:lineRule="auto"/>
    </w:pPr>
    <w:rPr>
      <w:rFonts w:ascii="Tahoma" w:hAnsi="Tahoma"/>
      <w:sz w:val="16"/>
      <w:szCs w:val="16"/>
    </w:rPr>
  </w:style>
  <w:style w:type="paragraph" w:customStyle="1" w:styleId="X3AS7TABSTYLE">
    <w:name w:val="X3AS7TABSTYLE"/>
    <w:basedOn w:val="Footer"/>
    <w:qFormat/>
    <w:pPr>
      <w:tabs>
        <w:tab w:val="clear" w:pos="4680"/>
        <w:tab w:val="clear" w:pos="9360"/>
        <w:tab w:val="right" w:pos="14173"/>
      </w:tabs>
    </w:pPr>
  </w:style>
  <w:style w:type="character" w:customStyle="1" w:styleId="PlainTextChar">
    <w:name w:val="Plain Text Char"/>
    <w:basedOn w:val="DefaultParagraphFont"/>
    <w:qFormat/>
    <w:rPr>
      <w:rFonts w:ascii="Calibri" w:hAnsi="Calibri"/>
      <w:szCs w:val="21"/>
      <w:lang w:val="en-US"/>
    </w:rPr>
  </w:style>
  <w:style w:type="character" w:customStyle="1" w:styleId="Heading1Char">
    <w:name w:val="Heading 1 Char"/>
    <w:basedOn w:val="DefaultParagraphFont"/>
    <w:qFormat/>
    <w:rPr>
      <w:rFonts w:ascii="Cambria" w:hAnsi="Cambria"/>
      <w:b/>
      <w:color w:val="365F91"/>
      <w:sz w:val="28"/>
      <w:szCs w:val="28"/>
      <w:lang w:val="en-US"/>
    </w:rPr>
  </w:style>
  <w:style w:type="character" w:customStyle="1" w:styleId="Heading2Char">
    <w:name w:val="Heading 2 Char"/>
    <w:basedOn w:val="DefaultParagraphFont"/>
    <w:qFormat/>
    <w:rPr>
      <w:rFonts w:ascii="Cambria" w:hAnsi="Cambria"/>
      <w:b/>
      <w:color w:val="4F81BD"/>
      <w:sz w:val="26"/>
      <w:szCs w:val="26"/>
      <w:lang w:val="en-US"/>
    </w:rPr>
  </w:style>
  <w:style w:type="character" w:customStyle="1" w:styleId="BalloonTextChar">
    <w:name w:val="Balloon Text Char"/>
    <w:basedOn w:val="DefaultParagraphFont"/>
    <w:qFormat/>
    <w:rPr>
      <w:rFonts w:ascii="Tahoma" w:hAnsi="Tahoma" w:cs="Tahoma"/>
      <w:sz w:val="16"/>
      <w:szCs w:val="16"/>
      <w:lang w:val="en-US"/>
    </w:rPr>
  </w:style>
  <w:style w:type="character" w:customStyle="1" w:styleId="X3AS7TOCHyperlink">
    <w:name w:val="X3AS7TOCHyperlink"/>
    <w:basedOn w:val="DefaultParagraphFont"/>
    <w:qFormat/>
    <w:rPr>
      <w:color w:val="000000"/>
      <w:u w:val="none"/>
      <w:lang w:val="en-US"/>
    </w:rPr>
  </w:style>
  <w:style w:type="character" w:customStyle="1" w:styleId="BulletSymbol">
    <w:name w:val="BulletSymbol"/>
    <w:qFormat/>
    <w:rPr>
      <w:lang w:val="en-US"/>
    </w:rPr>
  </w:style>
  <w:style w:type="paragraph" w:customStyle="1" w:styleId="Graphics">
    <w:name w:val="Graphics"/>
    <w:qFormat/>
  </w:style>
  <w:style w:type="character" w:customStyle="1" w:styleId="notereference">
    <w:name w:val="note reference"/>
    <w:semiHidden/>
    <w:unhideWhenUsed/>
  </w:style>
  <w:style w:type="paragraph" w:customStyle="1" w:styleId="notetext">
    <w:name w:val="note text"/>
    <w:semiHidden/>
    <w:unhideWhenUsed/>
  </w:style>
  <w:style w:type="character" w:customStyle="1" w:styleId="notereference1">
    <w:name w:val="note reference_1"/>
    <w:semiHidden/>
    <w:unhideWhenUsed/>
  </w:style>
  <w:style w:type="paragraph" w:customStyle="1" w:styleId="notetext1">
    <w:name w:val="note text_1"/>
    <w:semiHidden/>
    <w:unhideWhenUsed/>
  </w:style>
  <w:style w:type="table" w:customStyle="1" w:styleId="CONTENTTable1">
    <w:name w:val="CONTENT_Table1"/>
    <w:hidden/>
    <w:qFormat/>
    <w:tblPr>
      <w:tblCellMar>
        <w:top w:w="0" w:type="dxa"/>
        <w:left w:w="0" w:type="dxa"/>
        <w:bottom w:w="0" w:type="dxa"/>
        <w:right w:w="0" w:type="dxa"/>
      </w:tblCellMar>
    </w:tblPr>
  </w:style>
  <w:style w:type="table" w:customStyle="1" w:styleId="CONTENTTable1A">
    <w:name w:val="CONTENT_Table1.A"/>
    <w:hidden/>
    <w:qFormat/>
    <w:tblPr>
      <w:tblCellMar>
        <w:top w:w="0" w:type="dxa"/>
        <w:left w:w="0" w:type="dxa"/>
        <w:bottom w:w="0" w:type="dxa"/>
        <w:right w:w="0" w:type="dxa"/>
      </w:tblCellMar>
    </w:tblPr>
  </w:style>
  <w:style w:type="table" w:customStyle="1" w:styleId="CONTENTTable1B">
    <w:name w:val="CONTENT_Table1.B"/>
    <w:hidden/>
    <w:qFormat/>
    <w:tblPr>
      <w:tblCellMar>
        <w:top w:w="0" w:type="dxa"/>
        <w:left w:w="0" w:type="dxa"/>
        <w:bottom w:w="0" w:type="dxa"/>
        <w:right w:w="0" w:type="dxa"/>
      </w:tblCellMar>
    </w:tblPr>
  </w:style>
  <w:style w:type="table" w:customStyle="1" w:styleId="CONTENTTable11">
    <w:name w:val="CONTENT_Table1.1"/>
    <w:hidden/>
    <w:qFormat/>
    <w:tblPr>
      <w:tblCellMar>
        <w:top w:w="0" w:type="dxa"/>
        <w:left w:w="0" w:type="dxa"/>
        <w:bottom w:w="0" w:type="dxa"/>
        <w:right w:w="0" w:type="dxa"/>
      </w:tblCellMar>
    </w:tblPr>
  </w:style>
  <w:style w:type="table" w:customStyle="1" w:styleId="CONTENTTable1A1">
    <w:name w:val="CONTENT_Table1.A1"/>
    <w:hidden/>
    <w:qFormat/>
    <w:tblPr>
      <w:tblCellMar>
        <w:top w:w="0" w:type="dxa"/>
        <w:left w:w="0" w:type="dxa"/>
        <w:bottom w:w="0" w:type="dxa"/>
        <w:right w:w="0" w:type="dxa"/>
      </w:tblCellMar>
    </w:tblPr>
  </w:style>
  <w:style w:type="table" w:customStyle="1" w:styleId="CONTENTTable12">
    <w:name w:val="CONTENT_Table1.2"/>
    <w:hidden/>
    <w:qFormat/>
    <w:tblPr>
      <w:tblCellMar>
        <w:top w:w="0" w:type="dxa"/>
        <w:left w:w="0" w:type="dxa"/>
        <w:bottom w:w="0" w:type="dxa"/>
        <w:right w:w="0" w:type="dxa"/>
      </w:tblCellMar>
    </w:tblPr>
  </w:style>
  <w:style w:type="table" w:customStyle="1" w:styleId="CONTENTTable1A2">
    <w:name w:val="CONTENT_Table1.A2"/>
    <w:hidden/>
    <w:qFormat/>
    <w:tblPr>
      <w:tblCellMar>
        <w:top w:w="0" w:type="dxa"/>
        <w:left w:w="0" w:type="dxa"/>
        <w:bottom w:w="0" w:type="dxa"/>
        <w:right w:w="0" w:type="dxa"/>
      </w:tblCellMar>
    </w:tblPr>
  </w:style>
  <w:style w:type="character" w:styleId="Hyperlink">
    <w:name w:val="Hyperlink"/>
    <w:rPr>
      <w:color w:val="000080"/>
      <w:u w:val="single"/>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Tahoma"/>
        <w:sz w:val="22"/>
        <w:szCs w:val="22"/>
        <w:lang w:val="en-US" w:eastAsia="en-US" w:bidi="ar-SA"/>
      </w:rPr>
    </w:rPrDefault>
    <w:pPrDefault>
      <w:pPr>
        <w:widowControl w:val="0"/>
        <w:suppressAutoHyphens/>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pPr>
  </w:style>
  <w:style w:type="paragraph" w:styleId="Heading1">
    <w:name w:val="heading 1"/>
    <w:basedOn w:val="Normal"/>
    <w:next w:val="Normal"/>
    <w:qFormat/>
    <w:pPr>
      <w:keepNext/>
      <w:keepLines/>
      <w:numPr>
        <w:numId w:val="1"/>
      </w:numPr>
      <w:spacing w:before="480" w:after="0"/>
      <w:outlineLvl w:val="0"/>
    </w:pPr>
    <w:rPr>
      <w:rFonts w:ascii="Cambria" w:hAnsi="Cambria"/>
      <w:b/>
      <w:color w:val="365F91"/>
      <w:sz w:val="28"/>
      <w:szCs w:val="28"/>
    </w:rPr>
  </w:style>
  <w:style w:type="paragraph" w:styleId="Heading2">
    <w:name w:val="heading 2"/>
    <w:basedOn w:val="Normal"/>
    <w:next w:val="Normal"/>
    <w:qFormat/>
    <w:pPr>
      <w:keepNext/>
      <w:keepLines/>
      <w:numPr>
        <w:ilvl w:val="1"/>
        <w:numId w:val="1"/>
      </w:numPr>
      <w:spacing w:before="200" w:after="0"/>
      <w:outlineLvl w:val="1"/>
    </w:pPr>
    <w:rPr>
      <w:rFonts w:ascii="Cambria" w:hAnsi="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customStyle="1" w:styleId="Heading">
    <w:name w:val="Heading"/>
    <w:basedOn w:val="Standard"/>
    <w:next w:val="Textbody"/>
    <w:qFormat/>
    <w:pPr>
      <w:keepNext/>
      <w:spacing w:before="240" w:after="120"/>
    </w:pPr>
    <w:rPr>
      <w:rFonts w:ascii="Arial" w:hAnsi="Arial"/>
      <w:sz w:val="28"/>
      <w:szCs w:val="28"/>
    </w:rPr>
  </w:style>
  <w:style w:type="paragraph" w:styleId="Footer">
    <w:name w:val="footer"/>
    <w:basedOn w:val="Standard"/>
    <w:qFormat/>
    <w:pPr>
      <w:tabs>
        <w:tab w:val="center" w:pos="4680"/>
        <w:tab w:val="right" w:pos="9360"/>
      </w:tabs>
    </w:pPr>
  </w:style>
  <w:style w:type="paragraph" w:customStyle="1" w:styleId="TableContents">
    <w:name w:val="Table Contents"/>
    <w:basedOn w:val="Standard"/>
    <w:qFormat/>
  </w:style>
  <w:style w:type="paragraph" w:styleId="PlainText">
    <w:name w:val="Plain Text"/>
    <w:basedOn w:val="Normal"/>
    <w:qFormat/>
    <w:pPr>
      <w:spacing w:after="0" w:line="240" w:lineRule="auto"/>
    </w:pPr>
    <w:rPr>
      <w:szCs w:val="21"/>
    </w:rPr>
  </w:style>
  <w:style w:type="paragraph" w:styleId="BalloonText">
    <w:name w:val="Balloon Text"/>
    <w:basedOn w:val="Normal"/>
    <w:qFormat/>
    <w:pPr>
      <w:spacing w:after="0" w:line="240" w:lineRule="auto"/>
    </w:pPr>
    <w:rPr>
      <w:rFonts w:ascii="Tahoma" w:hAnsi="Tahoma"/>
      <w:sz w:val="16"/>
      <w:szCs w:val="16"/>
    </w:rPr>
  </w:style>
  <w:style w:type="paragraph" w:customStyle="1" w:styleId="X3AS7TABSTYLE">
    <w:name w:val="X3AS7TABSTYLE"/>
    <w:basedOn w:val="Footer"/>
    <w:qFormat/>
    <w:pPr>
      <w:tabs>
        <w:tab w:val="clear" w:pos="4680"/>
        <w:tab w:val="clear" w:pos="9360"/>
        <w:tab w:val="right" w:pos="14173"/>
      </w:tabs>
    </w:pPr>
  </w:style>
  <w:style w:type="character" w:customStyle="1" w:styleId="PlainTextChar">
    <w:name w:val="Plain Text Char"/>
    <w:basedOn w:val="DefaultParagraphFont"/>
    <w:qFormat/>
    <w:rPr>
      <w:rFonts w:ascii="Calibri" w:hAnsi="Calibri"/>
      <w:szCs w:val="21"/>
      <w:lang w:val="en-US"/>
    </w:rPr>
  </w:style>
  <w:style w:type="character" w:customStyle="1" w:styleId="Heading1Char">
    <w:name w:val="Heading 1 Char"/>
    <w:basedOn w:val="DefaultParagraphFont"/>
    <w:qFormat/>
    <w:rPr>
      <w:rFonts w:ascii="Cambria" w:hAnsi="Cambria"/>
      <w:b/>
      <w:color w:val="365F91"/>
      <w:sz w:val="28"/>
      <w:szCs w:val="28"/>
      <w:lang w:val="en-US"/>
    </w:rPr>
  </w:style>
  <w:style w:type="character" w:customStyle="1" w:styleId="Heading2Char">
    <w:name w:val="Heading 2 Char"/>
    <w:basedOn w:val="DefaultParagraphFont"/>
    <w:qFormat/>
    <w:rPr>
      <w:rFonts w:ascii="Cambria" w:hAnsi="Cambria"/>
      <w:b/>
      <w:color w:val="4F81BD"/>
      <w:sz w:val="26"/>
      <w:szCs w:val="26"/>
      <w:lang w:val="en-US"/>
    </w:rPr>
  </w:style>
  <w:style w:type="character" w:customStyle="1" w:styleId="BalloonTextChar">
    <w:name w:val="Balloon Text Char"/>
    <w:basedOn w:val="DefaultParagraphFont"/>
    <w:qFormat/>
    <w:rPr>
      <w:rFonts w:ascii="Tahoma" w:hAnsi="Tahoma" w:cs="Tahoma"/>
      <w:sz w:val="16"/>
      <w:szCs w:val="16"/>
      <w:lang w:val="en-US"/>
    </w:rPr>
  </w:style>
  <w:style w:type="character" w:customStyle="1" w:styleId="X3AS7TOCHyperlink">
    <w:name w:val="X3AS7TOCHyperlink"/>
    <w:basedOn w:val="DefaultParagraphFont"/>
    <w:qFormat/>
    <w:rPr>
      <w:color w:val="000000"/>
      <w:u w:val="none"/>
      <w:lang w:val="en-US"/>
    </w:rPr>
  </w:style>
  <w:style w:type="character" w:customStyle="1" w:styleId="BulletSymbol">
    <w:name w:val="BulletSymbol"/>
    <w:qFormat/>
    <w:rPr>
      <w:lang w:val="en-US"/>
    </w:rPr>
  </w:style>
  <w:style w:type="paragraph" w:customStyle="1" w:styleId="Graphics">
    <w:name w:val="Graphics"/>
    <w:qFormat/>
  </w:style>
  <w:style w:type="character" w:customStyle="1" w:styleId="notereference">
    <w:name w:val="note reference"/>
    <w:semiHidden/>
    <w:unhideWhenUsed/>
  </w:style>
  <w:style w:type="paragraph" w:customStyle="1" w:styleId="notetext">
    <w:name w:val="note text"/>
    <w:semiHidden/>
    <w:unhideWhenUsed/>
  </w:style>
  <w:style w:type="character" w:customStyle="1" w:styleId="notereference1">
    <w:name w:val="note reference_1"/>
    <w:semiHidden/>
    <w:unhideWhenUsed/>
  </w:style>
  <w:style w:type="paragraph" w:customStyle="1" w:styleId="notetext1">
    <w:name w:val="note text_1"/>
    <w:semiHidden/>
    <w:unhideWhenUsed/>
  </w:style>
  <w:style w:type="table" w:customStyle="1" w:styleId="CONTENTTable1">
    <w:name w:val="CONTENT_Table1"/>
    <w:hidden/>
    <w:qFormat/>
    <w:tblPr>
      <w:tblCellMar>
        <w:top w:w="0" w:type="dxa"/>
        <w:left w:w="0" w:type="dxa"/>
        <w:bottom w:w="0" w:type="dxa"/>
        <w:right w:w="0" w:type="dxa"/>
      </w:tblCellMar>
    </w:tblPr>
  </w:style>
  <w:style w:type="table" w:customStyle="1" w:styleId="CONTENTTable1A">
    <w:name w:val="CONTENT_Table1.A"/>
    <w:hidden/>
    <w:qFormat/>
    <w:tblPr>
      <w:tblCellMar>
        <w:top w:w="0" w:type="dxa"/>
        <w:left w:w="0" w:type="dxa"/>
        <w:bottom w:w="0" w:type="dxa"/>
        <w:right w:w="0" w:type="dxa"/>
      </w:tblCellMar>
    </w:tblPr>
  </w:style>
  <w:style w:type="table" w:customStyle="1" w:styleId="CONTENTTable1B">
    <w:name w:val="CONTENT_Table1.B"/>
    <w:hidden/>
    <w:qFormat/>
    <w:tblPr>
      <w:tblCellMar>
        <w:top w:w="0" w:type="dxa"/>
        <w:left w:w="0" w:type="dxa"/>
        <w:bottom w:w="0" w:type="dxa"/>
        <w:right w:w="0" w:type="dxa"/>
      </w:tblCellMar>
    </w:tblPr>
  </w:style>
  <w:style w:type="table" w:customStyle="1" w:styleId="CONTENTTable11">
    <w:name w:val="CONTENT_Table1.1"/>
    <w:hidden/>
    <w:qFormat/>
    <w:tblPr>
      <w:tblCellMar>
        <w:top w:w="0" w:type="dxa"/>
        <w:left w:w="0" w:type="dxa"/>
        <w:bottom w:w="0" w:type="dxa"/>
        <w:right w:w="0" w:type="dxa"/>
      </w:tblCellMar>
    </w:tblPr>
  </w:style>
  <w:style w:type="table" w:customStyle="1" w:styleId="CONTENTTable1A1">
    <w:name w:val="CONTENT_Table1.A1"/>
    <w:hidden/>
    <w:qFormat/>
    <w:tblPr>
      <w:tblCellMar>
        <w:top w:w="0" w:type="dxa"/>
        <w:left w:w="0" w:type="dxa"/>
        <w:bottom w:w="0" w:type="dxa"/>
        <w:right w:w="0" w:type="dxa"/>
      </w:tblCellMar>
    </w:tblPr>
  </w:style>
  <w:style w:type="table" w:customStyle="1" w:styleId="CONTENTTable12">
    <w:name w:val="CONTENT_Table1.2"/>
    <w:hidden/>
    <w:qFormat/>
    <w:tblPr>
      <w:tblCellMar>
        <w:top w:w="0" w:type="dxa"/>
        <w:left w:w="0" w:type="dxa"/>
        <w:bottom w:w="0" w:type="dxa"/>
        <w:right w:w="0" w:type="dxa"/>
      </w:tblCellMar>
    </w:tblPr>
  </w:style>
  <w:style w:type="table" w:customStyle="1" w:styleId="CONTENTTable1A2">
    <w:name w:val="CONTENT_Table1.A2"/>
    <w:hidden/>
    <w:qFormat/>
    <w:tblPr>
      <w:tblCellMar>
        <w:top w:w="0" w:type="dxa"/>
        <w:left w:w="0" w:type="dxa"/>
        <w:bottom w:w="0" w:type="dxa"/>
        <w:right w:w="0" w:type="dxa"/>
      </w:tblCellMar>
    </w:tblPr>
  </w:style>
  <w:style w:type="character" w:styleId="Hyperlink">
    <w:name w:val="Hyperlink"/>
    <w:rPr>
      <w:color w:val="000080"/>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89185">
      <w:bodyDiv w:val="1"/>
      <w:marLeft w:val="0"/>
      <w:marRight w:val="0"/>
      <w:marTop w:val="0"/>
      <w:marBottom w:val="0"/>
      <w:divBdr>
        <w:top w:val="none" w:sz="0" w:space="0" w:color="auto"/>
        <w:left w:val="none" w:sz="0" w:space="0" w:color="auto"/>
        <w:bottom w:val="none" w:sz="0" w:space="0" w:color="auto"/>
        <w:right w:val="none" w:sz="0" w:space="0" w:color="auto"/>
      </w:divBdr>
    </w:div>
    <w:div w:id="1214928906">
      <w:bodyDiv w:val="1"/>
      <w:marLeft w:val="0"/>
      <w:marRight w:val="0"/>
      <w:marTop w:val="0"/>
      <w:marBottom w:val="0"/>
      <w:divBdr>
        <w:top w:val="none" w:sz="0" w:space="0" w:color="auto"/>
        <w:left w:val="none" w:sz="0" w:space="0" w:color="auto"/>
        <w:bottom w:val="none" w:sz="0" w:space="0" w:color="auto"/>
        <w:right w:val="none" w:sz="0" w:space="0" w:color="auto"/>
      </w:divBdr>
    </w:div>
    <w:div w:id="1433092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Fischer</dc:creator>
  <cp:lastModifiedBy>marys</cp:lastModifiedBy>
  <cp:revision>2</cp:revision>
  <dcterms:created xsi:type="dcterms:W3CDTF">2012-02-03T20:26:00Z</dcterms:created>
  <dcterms:modified xsi:type="dcterms:W3CDTF">2012-02-03T20:26:00Z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